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b/>
          <w:sz w:val="32"/>
          <w:szCs w:val="28"/>
        </w:rPr>
      </w:pPr>
    </w:p>
    <w:p>
      <w:pPr>
        <w:jc w:val="center"/>
        <w:rPr>
          <w:rFonts w:hint="eastAsia" w:ascii="仿宋" w:hAnsi="仿宋" w:eastAsia="仿宋"/>
          <w:b/>
          <w:sz w:val="36"/>
          <w:szCs w:val="36"/>
        </w:rPr>
      </w:pPr>
      <w:r>
        <w:rPr>
          <w:rFonts w:hint="eastAsia" w:ascii="仿宋" w:hAnsi="仿宋" w:eastAsia="仿宋"/>
          <w:b/>
          <w:sz w:val="36"/>
          <w:szCs w:val="36"/>
        </w:rPr>
        <w:t>辽宁钢城正大律师事务所关于</w:t>
      </w:r>
    </w:p>
    <w:p>
      <w:pPr>
        <w:jc w:val="center"/>
        <w:rPr>
          <w:rFonts w:hint="eastAsia" w:ascii="仿宋" w:hAnsi="仿宋" w:eastAsia="仿宋"/>
          <w:b/>
          <w:sz w:val="36"/>
          <w:szCs w:val="36"/>
        </w:rPr>
      </w:pPr>
      <w:r>
        <w:rPr>
          <w:rFonts w:hint="eastAsia" w:ascii="仿宋" w:hAnsi="仿宋" w:eastAsia="仿宋"/>
          <w:b/>
          <w:sz w:val="36"/>
          <w:szCs w:val="36"/>
        </w:rPr>
        <w:t>鞍山银行股份有限公司2026年临时股东大会</w:t>
      </w:r>
    </w:p>
    <w:p>
      <w:pPr>
        <w:jc w:val="center"/>
        <w:rPr>
          <w:rFonts w:hint="eastAsia" w:ascii="仿宋" w:hAnsi="仿宋" w:eastAsia="仿宋"/>
          <w:b/>
          <w:sz w:val="36"/>
          <w:szCs w:val="36"/>
        </w:rPr>
      </w:pPr>
      <w:r>
        <w:rPr>
          <w:rFonts w:hint="eastAsia" w:ascii="仿宋" w:hAnsi="仿宋" w:eastAsia="仿宋"/>
          <w:b/>
          <w:sz w:val="36"/>
          <w:szCs w:val="36"/>
        </w:rPr>
        <w:t>法律意见</w:t>
      </w:r>
    </w:p>
    <w:p>
      <w:pPr>
        <w:jc w:val="right"/>
        <w:rPr>
          <w:rFonts w:hint="eastAsia" w:ascii="仿宋" w:hAnsi="仿宋" w:eastAsia="仿宋"/>
          <w:bCs/>
          <w:sz w:val="28"/>
          <w:szCs w:val="24"/>
        </w:rPr>
      </w:pPr>
      <w:r>
        <w:rPr>
          <w:rFonts w:hint="eastAsia" w:ascii="仿宋" w:hAnsi="仿宋" w:eastAsia="仿宋"/>
          <w:bCs/>
          <w:sz w:val="28"/>
          <w:szCs w:val="24"/>
        </w:rPr>
        <w:t>【2026】辽正法鞍银见字009号</w:t>
      </w:r>
    </w:p>
    <w:p>
      <w:pPr>
        <w:jc w:val="center"/>
        <w:rPr>
          <w:rFonts w:hint="eastAsia" w:ascii="仿宋" w:hAnsi="仿宋" w:eastAsia="仿宋"/>
          <w:sz w:val="32"/>
          <w:szCs w:val="32"/>
        </w:rPr>
      </w:pPr>
      <w:r>
        <w:rPr>
          <w:rFonts w:hint="eastAsia" w:ascii="仿宋" w:hAnsi="仿宋" w:eastAsia="仿宋"/>
          <w:sz w:val="32"/>
          <w:szCs w:val="32"/>
        </w:rPr>
        <w:t>前  言</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辽宁钢城正大律师事务所（以下简称“本所”）根据与鞍山银行股份有限公司（以下简称“鞍山银行”）签订的《常年法律顾问合同书》，指派本所周钢都、程晓露律师就鞍山银行于2026年10月16日召开的2026年临时股东大会的召集、召开、决议程序，以及会议审议的《关于制定鞍山银行收购辽宁岫岩金玉村镇银行股份有限公司设立分支机构的实施方案的议案》《关于制定鞍山银行与辽宁岫岩金玉村镇银行股份有限公司收购协议（草案）的议案》《关于制定鞍山银行收购辽宁岫岩金玉村镇银行股份有限公司设立分支机构后的工作安排的议案》《关于鞍山银行参与竞拍辽宁岫岩金玉村镇银行股份有限公司自然人股权的议案》《关于鞍山银行收回在辽宁岫岩金玉村镇银行股份有限公司长期股权投资的议案》等事项，出具本法律意见。</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本法律意见仅供鞍山银行为进行本次鞍山银行2026年临时股东大会会议召集、召开、决议程序及审议议案的真实性、合法性之目的使用，不适用于任何其他目的。</w:t>
      </w:r>
    </w:p>
    <w:p>
      <w:pPr>
        <w:spacing w:line="540" w:lineRule="exact"/>
        <w:jc w:val="left"/>
        <w:rPr>
          <w:rFonts w:hint="eastAsia" w:ascii="仿宋" w:hAnsi="仿宋" w:eastAsia="仿宋"/>
          <w:sz w:val="32"/>
          <w:szCs w:val="32"/>
        </w:rPr>
      </w:pPr>
      <w:r>
        <w:rPr>
          <w:rFonts w:hint="eastAsia" w:ascii="仿宋" w:hAnsi="仿宋" w:eastAsia="仿宋"/>
          <w:sz w:val="32"/>
          <w:szCs w:val="32"/>
        </w:rPr>
        <w:t xml:space="preserve">    本所律师依据《中华人民共和国公司法》、《中华人民共和国商业银行法》、《银行保险机构公司治理准则》和《鞍山银行章程》等法律、法规、规章有关规定进行审查后，按照律师行业公认的业务标准、执业规范、职业道德和勤勉尽责的精神，出具法律意见如下：</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一、关于鞍山银行召开2026年临时股东大会的召集、召开程序和出席会议人员资格审查</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鞍山银行决定于2026年10月16日召开2026年临时股东大会，并于2026年9月28日在鞍山银行网站、2026年9月29日在《鞍山日报》刊登了《鞍山银行关于召开2026年临时股东大会的通知》，通知对会议时间、地点、主要议题、出席</w:t>
      </w:r>
      <w:bookmarkStart w:id="0" w:name="_GoBack"/>
      <w:bookmarkEnd w:id="0"/>
      <w:r>
        <w:rPr>
          <w:rFonts w:hint="eastAsia" w:ascii="仿宋" w:hAnsi="仿宋" w:eastAsia="仿宋"/>
          <w:sz w:val="32"/>
          <w:szCs w:val="32"/>
        </w:rPr>
        <w:t>会议人员及股东、股东委托代理人需提交的材料等事项均作了详细告知。</w:t>
      </w:r>
    </w:p>
    <w:p>
      <w:pPr>
        <w:wordWrap w:val="0"/>
        <w:spacing w:line="540" w:lineRule="exact"/>
        <w:ind w:firstLine="640" w:firstLineChars="200"/>
        <w:jc w:val="left"/>
        <w:rPr>
          <w:rFonts w:hint="eastAsia" w:ascii="仿宋" w:hAnsi="仿宋" w:eastAsia="仿宋"/>
          <w:sz w:val="32"/>
          <w:szCs w:val="32"/>
          <w:u w:val="single"/>
        </w:rPr>
      </w:pPr>
      <w:r>
        <w:rPr>
          <w:rFonts w:hint="eastAsia" w:ascii="仿宋" w:hAnsi="仿宋" w:eastAsia="仿宋"/>
          <w:sz w:val="32"/>
          <w:szCs w:val="32"/>
        </w:rPr>
        <w:t>本次临时股东大会采用线下方式召开，出席本次临时股东大会的股东及股东授权委托代理人共</w:t>
      </w:r>
      <w:r>
        <w:rPr>
          <w:rFonts w:hint="eastAsia" w:ascii="仿宋" w:hAnsi="仿宋" w:eastAsia="仿宋"/>
          <w:sz w:val="32"/>
          <w:szCs w:val="32"/>
          <w:lang w:val="en-US" w:eastAsia="zh-CN"/>
        </w:rPr>
        <w:t>26</w:t>
      </w:r>
      <w:r>
        <w:rPr>
          <w:rFonts w:hint="eastAsia" w:ascii="仿宋" w:hAnsi="仿宋" w:eastAsia="仿宋"/>
          <w:sz w:val="32"/>
          <w:szCs w:val="32"/>
        </w:rPr>
        <w:t>人，代表股份数量共</w:t>
      </w:r>
      <w:r>
        <w:rPr>
          <w:rFonts w:hint="eastAsia" w:ascii="仿宋_GB2312" w:hAnsi="仿宋_GB2312" w:eastAsia="仿宋_GB2312" w:cs="仿宋_GB2312"/>
          <w:w w:val="100"/>
          <w:sz w:val="32"/>
          <w:szCs w:val="32"/>
          <w:lang w:val="en-US" w:eastAsia="zh-CN"/>
        </w:rPr>
        <w:t>2,145,248,120</w:t>
      </w:r>
      <w:r>
        <w:rPr>
          <w:rFonts w:hint="eastAsia" w:ascii="仿宋" w:hAnsi="仿宋" w:eastAsia="仿宋"/>
          <w:sz w:val="32"/>
          <w:szCs w:val="32"/>
        </w:rPr>
        <w:t>股，占公司股份总数的</w:t>
      </w:r>
      <w:r>
        <w:rPr>
          <w:rFonts w:hint="eastAsia" w:ascii="仿宋_GB2312" w:hAnsi="仿宋_GB2312" w:eastAsia="仿宋_GB2312" w:cs="仿宋_GB2312"/>
          <w:bCs/>
          <w:w w:val="100"/>
          <w:sz w:val="32"/>
          <w:szCs w:val="32"/>
          <w:lang w:val="en-US" w:eastAsia="zh-CN"/>
        </w:rPr>
        <w:t>70.44</w:t>
      </w:r>
      <w:r>
        <w:rPr>
          <w:rFonts w:hint="eastAsia" w:ascii="仿宋" w:hAnsi="仿宋" w:eastAsia="仿宋"/>
          <w:sz w:val="32"/>
          <w:szCs w:val="32"/>
        </w:rPr>
        <w:t>%,其中：限制表决权股东</w:t>
      </w:r>
      <w:r>
        <w:rPr>
          <w:rFonts w:hint="eastAsia" w:ascii="仿宋" w:hAnsi="仿宋" w:eastAsia="仿宋"/>
          <w:sz w:val="32"/>
          <w:szCs w:val="32"/>
          <w:lang w:val="en-US" w:eastAsia="zh-CN"/>
        </w:rPr>
        <w:t>3</w:t>
      </w:r>
      <w:r>
        <w:rPr>
          <w:rFonts w:hint="eastAsia" w:ascii="仿宋" w:hAnsi="仿宋" w:eastAsia="仿宋"/>
          <w:sz w:val="32"/>
          <w:szCs w:val="32"/>
        </w:rPr>
        <w:t>人，所持股份数量</w:t>
      </w:r>
      <w:r>
        <w:rPr>
          <w:rFonts w:hint="eastAsia" w:ascii="仿宋_GB2312" w:hAnsi="仿宋_GB2312" w:eastAsia="仿宋_GB2312" w:cs="仿宋_GB2312"/>
          <w:bCs/>
          <w:w w:val="100"/>
          <w:sz w:val="32"/>
          <w:szCs w:val="32"/>
          <w:lang w:val="en-US" w:eastAsia="zh-CN"/>
        </w:rPr>
        <w:t>540,262,000</w:t>
      </w:r>
      <w:r>
        <w:rPr>
          <w:rFonts w:hint="eastAsia" w:ascii="仿宋" w:hAnsi="仿宋" w:eastAsia="仿宋"/>
          <w:sz w:val="32"/>
          <w:szCs w:val="32"/>
        </w:rPr>
        <w:t>股，此股份数不计入出席本次临时股东大会的股东所持表决权的股份总数。</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本所律师认为，本次鞍山银行2026年临时股东大会召开的时间、地点、会议内容与通知一致，符合法律、法规规定。出席会议的股东及股东代理人资格均合法有效。</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二、关于鞍山银行召开2026年临时股东大会审议的议案及表决程序、表决结果审查</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经审查，鞍山银行2026年临时股东大会会议表决通过的《关于制定鞍山银行收购辽宁岫岩金玉村镇银行股份有限公司设立分支机构的实施方案的议案》《关于制定鞍山银行与辽宁岫岩金玉村镇银行股份有限公司收购协议（草案）的议案》《关于制定鞍山银行收购辽宁岫岩金玉村镇银行股份有限公司设立分支机构后的工作安排的议案》《关于鞍山银行参与竞拍辽宁岫岩金玉村镇银行股份有限公司自然人股权的议案》《关于鞍山银行收回在辽宁岫岩金玉村镇银行股份有限公司长期股权投资的议案》符合《中华人民共和国公司法》、《中华人民共和国商业银行法》和《银行保险机构公司治理准则》等法律、法规、规章规定，以及《鞍山银行章程》有关规定，并将报请国家金融监督管理总局鞍山监管分局等相关部门。上述议案的表决，程序合法，表决结果合法有效。</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三、法律结论</w:t>
      </w:r>
    </w:p>
    <w:p>
      <w:pPr>
        <w:wordWrap w:val="0"/>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（一）鞍山银行2026年临时股东大会会议的召集、召开程序符合有关法律、法规、规章和《鞍山银行章程》的规定,合法有效；</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（二）经审查，登记出席本次2026年临时股东大会的股东资格均合法有效；</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三）本次2026年临时股东大会的表决内容和程序，以及审议通过的《关于制定鞍山银行收购辽宁岫岩金玉村镇银行股份有限公司设立分支机构的实施方案的议案》《关于制定鞍山银行与辽宁岫岩金玉村镇银行股份有限公司收购协议（草案）的议案》《关于制定鞍山银行收购辽宁岫岩金玉村镇银行股份有限公司设立分支机构后的工作安排的议案》《关于鞍山银行参与竞拍辽宁岫岩金玉村镇银行股份有限公司自然人股权的议案》《关于鞍山银行收回在辽宁岫岩金玉村镇银行股份有限公司长期股权投资的议案》符合有关法律、法规、规章和《鞍山银行章程》的规定，合法有效。</w:t>
      </w:r>
    </w:p>
    <w:p>
      <w:pPr>
        <w:spacing w:line="540" w:lineRule="exact"/>
        <w:jc w:val="center"/>
        <w:rPr>
          <w:rFonts w:hint="eastAsia" w:ascii="仿宋" w:hAnsi="仿宋" w:eastAsia="仿宋"/>
          <w:sz w:val="32"/>
          <w:szCs w:val="32"/>
        </w:rPr>
      </w:pPr>
      <w:r>
        <w:rPr>
          <w:rFonts w:hint="eastAsia" w:ascii="仿宋" w:hAnsi="仿宋" w:eastAsia="仿宋"/>
          <w:sz w:val="32"/>
          <w:szCs w:val="32"/>
        </w:rPr>
        <w:t>结  尾</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本法律意见由辽宁钢城正大律师事务所出具。</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本法律意见正本一式叁份，无副本。</w:t>
      </w:r>
    </w:p>
    <w:p>
      <w:pPr>
        <w:spacing w:line="540" w:lineRule="exact"/>
        <w:jc w:val="right"/>
        <w:rPr>
          <w:rFonts w:hint="eastAsia" w:ascii="仿宋" w:hAnsi="仿宋" w:eastAsia="仿宋"/>
          <w:sz w:val="32"/>
          <w:szCs w:val="32"/>
        </w:rPr>
      </w:pPr>
    </w:p>
    <w:p>
      <w:pPr>
        <w:spacing w:line="540" w:lineRule="exact"/>
        <w:jc w:val="right"/>
        <w:rPr>
          <w:rFonts w:hint="eastAsia" w:ascii="仿宋" w:hAnsi="仿宋" w:eastAsia="仿宋"/>
          <w:sz w:val="32"/>
          <w:szCs w:val="32"/>
        </w:rPr>
      </w:pPr>
      <w:r>
        <w:rPr>
          <w:rFonts w:hint="eastAsia" w:ascii="仿宋" w:hAnsi="仿宋" w:eastAsia="仿宋"/>
          <w:sz w:val="32"/>
          <w:szCs w:val="32"/>
        </w:rPr>
        <w:t>辽宁钢城正大律师事务所</w:t>
      </w:r>
    </w:p>
    <w:p>
      <w:pPr>
        <w:spacing w:line="540" w:lineRule="exact"/>
        <w:jc w:val="right"/>
        <w:rPr>
          <w:rFonts w:hint="eastAsia" w:ascii="仿宋" w:hAnsi="仿宋" w:eastAsia="仿宋"/>
          <w:sz w:val="32"/>
          <w:szCs w:val="32"/>
        </w:rPr>
      </w:pPr>
      <w:r>
        <w:rPr>
          <w:rFonts w:hint="eastAsia" w:ascii="仿宋" w:hAnsi="仿宋" w:eastAsia="仿宋"/>
          <w:sz w:val="32"/>
          <w:szCs w:val="32"/>
        </w:rPr>
        <w:t xml:space="preserve">                                 承办律师：周钢都</w:t>
      </w:r>
    </w:p>
    <w:p>
      <w:pPr>
        <w:spacing w:line="540" w:lineRule="exact"/>
        <w:ind w:firstLine="5120" w:firstLineChars="1600"/>
        <w:jc w:val="right"/>
        <w:rPr>
          <w:rFonts w:hint="eastAsia" w:ascii="仿宋" w:hAnsi="仿宋" w:eastAsia="仿宋"/>
          <w:sz w:val="32"/>
          <w:szCs w:val="32"/>
        </w:rPr>
      </w:pPr>
      <w:r>
        <w:rPr>
          <w:rFonts w:hint="eastAsia" w:ascii="仿宋" w:hAnsi="仿宋" w:eastAsia="仿宋"/>
          <w:sz w:val="32"/>
          <w:szCs w:val="32"/>
        </w:rPr>
        <w:t>程晓露</w:t>
      </w:r>
    </w:p>
    <w:p>
      <w:pPr>
        <w:spacing w:line="540" w:lineRule="exact"/>
        <w:jc w:val="right"/>
        <w:rPr>
          <w:rFonts w:hint="eastAsia" w:ascii="仿宋" w:hAnsi="仿宋" w:eastAsia="仿宋"/>
          <w:sz w:val="32"/>
          <w:szCs w:val="32"/>
        </w:rPr>
      </w:pPr>
      <w:r>
        <w:rPr>
          <w:rFonts w:hint="eastAsia" w:ascii="仿宋" w:hAnsi="仿宋" w:eastAsia="仿宋"/>
          <w:sz w:val="32"/>
          <w:szCs w:val="32"/>
        </w:rPr>
        <w:t xml:space="preserve">                          二〇二六年十月十六日</w:t>
      </w:r>
    </w:p>
    <w:p>
      <w:pPr>
        <w:spacing w:line="540" w:lineRule="exact"/>
        <w:jc w:val="left"/>
        <w:rPr>
          <w:rFonts w:hint="eastAsia" w:ascii="仿宋" w:hAnsi="仿宋" w:eastAsia="仿宋"/>
          <w:sz w:val="32"/>
          <w:szCs w:val="32"/>
        </w:rPr>
      </w:pPr>
    </w:p>
    <w:p>
      <w:pPr>
        <w:spacing w:line="540" w:lineRule="exact"/>
        <w:jc w:val="left"/>
        <w:rPr>
          <w:rFonts w:hint="eastAsia" w:ascii="仿宋" w:hAnsi="仿宋" w:eastAsia="仿宋"/>
          <w:sz w:val="32"/>
          <w:szCs w:val="32"/>
        </w:rPr>
      </w:pPr>
    </w:p>
    <w:p>
      <w:pPr>
        <w:spacing w:line="540" w:lineRule="exact"/>
        <w:jc w:val="left"/>
        <w:rPr>
          <w:rFonts w:ascii="仿宋" w:hAnsi="仿宋" w:eastAsia="仿宋"/>
          <w:sz w:val="32"/>
          <w:szCs w:val="32"/>
        </w:rPr>
      </w:pPr>
    </w:p>
    <w:p>
      <w:pPr>
        <w:spacing w:line="540" w:lineRule="exact"/>
        <w:jc w:val="left"/>
        <w:rPr>
          <w:rFonts w:ascii="仿宋" w:hAnsi="仿宋" w:eastAsia="仿宋"/>
          <w:sz w:val="32"/>
          <w:szCs w:val="32"/>
        </w:rPr>
      </w:pPr>
    </w:p>
    <w:p>
      <w:pPr>
        <w:spacing w:line="540" w:lineRule="exact"/>
        <w:jc w:val="left"/>
        <w:rPr>
          <w:rFonts w:ascii="仿宋" w:hAnsi="仿宋" w:eastAsia="仿宋"/>
          <w:sz w:val="32"/>
          <w:szCs w:val="32"/>
        </w:rPr>
      </w:pPr>
    </w:p>
    <w:p>
      <w:pPr>
        <w:spacing w:line="540" w:lineRule="exact"/>
        <w:jc w:val="left"/>
        <w:rPr>
          <w:rFonts w:hint="eastAsia" w:ascii="仿宋" w:hAnsi="仿宋" w:eastAsia="仿宋"/>
          <w:sz w:val="32"/>
          <w:szCs w:val="32"/>
        </w:rPr>
      </w:pPr>
      <w:r>
        <w:rPr>
          <w:rFonts w:hint="eastAsia" w:ascii="仿宋" w:hAnsi="仿宋" w:eastAsia="仿宋"/>
          <w:sz w:val="32"/>
          <w:szCs w:val="32"/>
        </w:rPr>
        <w:t>附：制作本法律意见书所依据的资料：</w:t>
      </w:r>
    </w:p>
    <w:p>
      <w:pPr>
        <w:spacing w:line="540" w:lineRule="exact"/>
        <w:ind w:firstLine="640" w:firstLineChars="200"/>
        <w:jc w:val="left"/>
        <w:rPr>
          <w:rFonts w:hint="eastAsia" w:ascii="仿宋" w:hAnsi="仿宋" w:eastAsia="仿宋"/>
          <w:sz w:val="32"/>
          <w:szCs w:val="32"/>
        </w:rPr>
      </w:pPr>
      <w:r>
        <w:rPr>
          <w:rFonts w:hint="eastAsia" w:ascii="仿宋" w:hAnsi="仿宋" w:eastAsia="仿宋"/>
          <w:sz w:val="32"/>
          <w:szCs w:val="32"/>
        </w:rPr>
        <w:t>1、关于召开鞍山银行2026年临时股东大会会议的通知</w:t>
      </w:r>
    </w:p>
    <w:p>
      <w:pPr>
        <w:spacing w:line="540" w:lineRule="exact"/>
        <w:jc w:val="left"/>
        <w:rPr>
          <w:rFonts w:hint="eastAsia" w:ascii="仿宋" w:hAnsi="仿宋" w:eastAsia="仿宋"/>
          <w:sz w:val="32"/>
          <w:szCs w:val="32"/>
        </w:rPr>
      </w:pPr>
      <w:r>
        <w:rPr>
          <w:rFonts w:hint="eastAsia" w:ascii="仿宋" w:hAnsi="仿宋" w:eastAsia="仿宋"/>
          <w:sz w:val="32"/>
          <w:szCs w:val="32"/>
        </w:rPr>
        <w:t xml:space="preserve">    2、鞍山银行2026年临时股东大会会议决议及审议议案</w:t>
      </w:r>
    </w:p>
    <w:sectPr>
      <w:headerReference r:id="rId5" w:type="default"/>
      <w:footerReference r:id="rId6" w:type="default"/>
      <w:pgSz w:w="11906" w:h="16838"/>
      <w:pgMar w:top="1134" w:right="1701" w:bottom="567"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8550726"/>
    </w:sdtPr>
    <w:sdtContent>
      <w:sdt>
        <w:sdtPr>
          <w:id w:val="-1769616900"/>
        </w:sdtPr>
        <w:sdtContent>
          <w:p>
            <w:pPr>
              <w:pStyle w:val="5"/>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pPr>
    <w:r>
      <w:drawing>
        <wp:inline distT="0" distB="0" distL="0" distR="0">
          <wp:extent cx="2076450" cy="241935"/>
          <wp:effectExtent l="0" t="0" r="0" b="0"/>
          <wp:docPr id="14280889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8896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107914" cy="24566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wYzQ0ZTAzNmU0MTE0M2FkNzA4NDNkZWI2YTMzODkifQ=="/>
  </w:docVars>
  <w:rsids>
    <w:rsidRoot w:val="001168F7"/>
    <w:rsid w:val="0001093E"/>
    <w:rsid w:val="00021796"/>
    <w:rsid w:val="000348F5"/>
    <w:rsid w:val="000455D6"/>
    <w:rsid w:val="000519EE"/>
    <w:rsid w:val="000560DC"/>
    <w:rsid w:val="00056BED"/>
    <w:rsid w:val="0006423E"/>
    <w:rsid w:val="00077336"/>
    <w:rsid w:val="00077DC9"/>
    <w:rsid w:val="000A5B94"/>
    <w:rsid w:val="000B17EE"/>
    <w:rsid w:val="000B28A1"/>
    <w:rsid w:val="000B2AE2"/>
    <w:rsid w:val="000C5863"/>
    <w:rsid w:val="000D0699"/>
    <w:rsid w:val="000D3823"/>
    <w:rsid w:val="000D4906"/>
    <w:rsid w:val="000D7C38"/>
    <w:rsid w:val="000F0433"/>
    <w:rsid w:val="000F231D"/>
    <w:rsid w:val="000F30D7"/>
    <w:rsid w:val="001168F7"/>
    <w:rsid w:val="00131066"/>
    <w:rsid w:val="00136E68"/>
    <w:rsid w:val="0014650C"/>
    <w:rsid w:val="00146680"/>
    <w:rsid w:val="001539CF"/>
    <w:rsid w:val="0015749A"/>
    <w:rsid w:val="001820A1"/>
    <w:rsid w:val="001A46C6"/>
    <w:rsid w:val="001B2772"/>
    <w:rsid w:val="001C1E1B"/>
    <w:rsid w:val="001F4CE6"/>
    <w:rsid w:val="001F681F"/>
    <w:rsid w:val="0021574A"/>
    <w:rsid w:val="00222E0B"/>
    <w:rsid w:val="00231C8B"/>
    <w:rsid w:val="002448FF"/>
    <w:rsid w:val="0024680E"/>
    <w:rsid w:val="00251968"/>
    <w:rsid w:val="00264252"/>
    <w:rsid w:val="00265BC1"/>
    <w:rsid w:val="00276D6A"/>
    <w:rsid w:val="00282918"/>
    <w:rsid w:val="00292122"/>
    <w:rsid w:val="002973B9"/>
    <w:rsid w:val="002A0C24"/>
    <w:rsid w:val="002A0CA7"/>
    <w:rsid w:val="002A7F52"/>
    <w:rsid w:val="002B7B23"/>
    <w:rsid w:val="002C0CD9"/>
    <w:rsid w:val="002C3A24"/>
    <w:rsid w:val="002C4E0F"/>
    <w:rsid w:val="002D5046"/>
    <w:rsid w:val="002D6A6F"/>
    <w:rsid w:val="002F7745"/>
    <w:rsid w:val="003132EC"/>
    <w:rsid w:val="00320F5A"/>
    <w:rsid w:val="00332A0E"/>
    <w:rsid w:val="0033487A"/>
    <w:rsid w:val="003360EF"/>
    <w:rsid w:val="0034376B"/>
    <w:rsid w:val="00345116"/>
    <w:rsid w:val="00360039"/>
    <w:rsid w:val="0036445B"/>
    <w:rsid w:val="00365CB1"/>
    <w:rsid w:val="003670D5"/>
    <w:rsid w:val="00376400"/>
    <w:rsid w:val="003964C8"/>
    <w:rsid w:val="003D7B5B"/>
    <w:rsid w:val="003D7DB9"/>
    <w:rsid w:val="003F3CFC"/>
    <w:rsid w:val="004025F6"/>
    <w:rsid w:val="0041045C"/>
    <w:rsid w:val="00413333"/>
    <w:rsid w:val="00424E72"/>
    <w:rsid w:val="004264AD"/>
    <w:rsid w:val="00430F7B"/>
    <w:rsid w:val="00434543"/>
    <w:rsid w:val="00445D29"/>
    <w:rsid w:val="00451638"/>
    <w:rsid w:val="0045497E"/>
    <w:rsid w:val="004553BC"/>
    <w:rsid w:val="00466D1C"/>
    <w:rsid w:val="00480C05"/>
    <w:rsid w:val="004C0E4C"/>
    <w:rsid w:val="004C144D"/>
    <w:rsid w:val="004D5BD4"/>
    <w:rsid w:val="004D6847"/>
    <w:rsid w:val="004D7568"/>
    <w:rsid w:val="004E465A"/>
    <w:rsid w:val="004E5403"/>
    <w:rsid w:val="004F6682"/>
    <w:rsid w:val="005042CE"/>
    <w:rsid w:val="0052022E"/>
    <w:rsid w:val="00537FFE"/>
    <w:rsid w:val="00547911"/>
    <w:rsid w:val="00560481"/>
    <w:rsid w:val="00562CB5"/>
    <w:rsid w:val="00567684"/>
    <w:rsid w:val="00567BC0"/>
    <w:rsid w:val="0058370B"/>
    <w:rsid w:val="00586A43"/>
    <w:rsid w:val="005A00AD"/>
    <w:rsid w:val="005B2BEF"/>
    <w:rsid w:val="005C0F67"/>
    <w:rsid w:val="005C3EDF"/>
    <w:rsid w:val="005D41F5"/>
    <w:rsid w:val="005D767B"/>
    <w:rsid w:val="005F39E2"/>
    <w:rsid w:val="005F5F79"/>
    <w:rsid w:val="0060350F"/>
    <w:rsid w:val="00624DFA"/>
    <w:rsid w:val="00631502"/>
    <w:rsid w:val="00636DFB"/>
    <w:rsid w:val="00640A83"/>
    <w:rsid w:val="006429A9"/>
    <w:rsid w:val="00643936"/>
    <w:rsid w:val="00653134"/>
    <w:rsid w:val="00682362"/>
    <w:rsid w:val="00691950"/>
    <w:rsid w:val="006927CE"/>
    <w:rsid w:val="006B71DB"/>
    <w:rsid w:val="006F1EB3"/>
    <w:rsid w:val="006F22DD"/>
    <w:rsid w:val="006F6E05"/>
    <w:rsid w:val="006F7A28"/>
    <w:rsid w:val="00701FF2"/>
    <w:rsid w:val="0071521D"/>
    <w:rsid w:val="0071738D"/>
    <w:rsid w:val="0074065C"/>
    <w:rsid w:val="0074197D"/>
    <w:rsid w:val="00765447"/>
    <w:rsid w:val="00781908"/>
    <w:rsid w:val="00787C84"/>
    <w:rsid w:val="007C6AE2"/>
    <w:rsid w:val="007D30A3"/>
    <w:rsid w:val="007E0581"/>
    <w:rsid w:val="00812D41"/>
    <w:rsid w:val="00834293"/>
    <w:rsid w:val="0083457D"/>
    <w:rsid w:val="00880138"/>
    <w:rsid w:val="00883A3F"/>
    <w:rsid w:val="00895189"/>
    <w:rsid w:val="008A79A0"/>
    <w:rsid w:val="008D1509"/>
    <w:rsid w:val="00915F6A"/>
    <w:rsid w:val="00937A27"/>
    <w:rsid w:val="00937FC3"/>
    <w:rsid w:val="009623F4"/>
    <w:rsid w:val="0096365C"/>
    <w:rsid w:val="00974C85"/>
    <w:rsid w:val="00975A07"/>
    <w:rsid w:val="00976CB4"/>
    <w:rsid w:val="00983DE6"/>
    <w:rsid w:val="00997AB9"/>
    <w:rsid w:val="009A5BBB"/>
    <w:rsid w:val="009B355F"/>
    <w:rsid w:val="009B6AFE"/>
    <w:rsid w:val="009F2435"/>
    <w:rsid w:val="009F4230"/>
    <w:rsid w:val="009F5777"/>
    <w:rsid w:val="009F7BE0"/>
    <w:rsid w:val="00A05431"/>
    <w:rsid w:val="00A25903"/>
    <w:rsid w:val="00A37472"/>
    <w:rsid w:val="00A57263"/>
    <w:rsid w:val="00A612AE"/>
    <w:rsid w:val="00A669E8"/>
    <w:rsid w:val="00A7601E"/>
    <w:rsid w:val="00A77EE2"/>
    <w:rsid w:val="00A835B5"/>
    <w:rsid w:val="00A8724E"/>
    <w:rsid w:val="00A9118B"/>
    <w:rsid w:val="00A95417"/>
    <w:rsid w:val="00A95571"/>
    <w:rsid w:val="00AB353E"/>
    <w:rsid w:val="00AC6967"/>
    <w:rsid w:val="00AE26AA"/>
    <w:rsid w:val="00AE7F0C"/>
    <w:rsid w:val="00AF3B30"/>
    <w:rsid w:val="00B02235"/>
    <w:rsid w:val="00B223A4"/>
    <w:rsid w:val="00B361D6"/>
    <w:rsid w:val="00B45783"/>
    <w:rsid w:val="00B51472"/>
    <w:rsid w:val="00B56558"/>
    <w:rsid w:val="00B67013"/>
    <w:rsid w:val="00B761F3"/>
    <w:rsid w:val="00BB3F2D"/>
    <w:rsid w:val="00BD6F70"/>
    <w:rsid w:val="00BE51A6"/>
    <w:rsid w:val="00BF048B"/>
    <w:rsid w:val="00BF7FAE"/>
    <w:rsid w:val="00C12B3C"/>
    <w:rsid w:val="00C14D15"/>
    <w:rsid w:val="00C372F9"/>
    <w:rsid w:val="00C42851"/>
    <w:rsid w:val="00C451E7"/>
    <w:rsid w:val="00C61436"/>
    <w:rsid w:val="00C6757C"/>
    <w:rsid w:val="00C718C5"/>
    <w:rsid w:val="00C75104"/>
    <w:rsid w:val="00C82BA9"/>
    <w:rsid w:val="00CA48A7"/>
    <w:rsid w:val="00CB1590"/>
    <w:rsid w:val="00CC12C3"/>
    <w:rsid w:val="00CD6562"/>
    <w:rsid w:val="00D00370"/>
    <w:rsid w:val="00D04DA3"/>
    <w:rsid w:val="00D1001B"/>
    <w:rsid w:val="00D1473C"/>
    <w:rsid w:val="00D474E3"/>
    <w:rsid w:val="00D53BE0"/>
    <w:rsid w:val="00D57340"/>
    <w:rsid w:val="00D65DEF"/>
    <w:rsid w:val="00D65F4D"/>
    <w:rsid w:val="00D67965"/>
    <w:rsid w:val="00D93024"/>
    <w:rsid w:val="00DA4D70"/>
    <w:rsid w:val="00DB3361"/>
    <w:rsid w:val="00DB50F1"/>
    <w:rsid w:val="00DC2C21"/>
    <w:rsid w:val="00DC34C7"/>
    <w:rsid w:val="00DC36F0"/>
    <w:rsid w:val="00DC4918"/>
    <w:rsid w:val="00DE35E0"/>
    <w:rsid w:val="00DF7893"/>
    <w:rsid w:val="00E00F3B"/>
    <w:rsid w:val="00E04466"/>
    <w:rsid w:val="00E11A63"/>
    <w:rsid w:val="00E432CA"/>
    <w:rsid w:val="00E46D1D"/>
    <w:rsid w:val="00E47F6A"/>
    <w:rsid w:val="00E62BF3"/>
    <w:rsid w:val="00E742C8"/>
    <w:rsid w:val="00E8538D"/>
    <w:rsid w:val="00E87AAC"/>
    <w:rsid w:val="00E90D7D"/>
    <w:rsid w:val="00E95822"/>
    <w:rsid w:val="00EC0B94"/>
    <w:rsid w:val="00F07C8E"/>
    <w:rsid w:val="00F13ADF"/>
    <w:rsid w:val="00F13BBB"/>
    <w:rsid w:val="00F446C4"/>
    <w:rsid w:val="00F53D04"/>
    <w:rsid w:val="00F90150"/>
    <w:rsid w:val="00FA076A"/>
    <w:rsid w:val="00FD6657"/>
    <w:rsid w:val="00FF437F"/>
    <w:rsid w:val="02BB38D7"/>
    <w:rsid w:val="030607C2"/>
    <w:rsid w:val="13155611"/>
    <w:rsid w:val="13E86AAE"/>
    <w:rsid w:val="14AF7439"/>
    <w:rsid w:val="1B7A3E63"/>
    <w:rsid w:val="1C2C4B61"/>
    <w:rsid w:val="1CB6634C"/>
    <w:rsid w:val="1D0414E9"/>
    <w:rsid w:val="1F096756"/>
    <w:rsid w:val="23AE2209"/>
    <w:rsid w:val="254C5864"/>
    <w:rsid w:val="25B14925"/>
    <w:rsid w:val="2716513B"/>
    <w:rsid w:val="279F765D"/>
    <w:rsid w:val="295220BC"/>
    <w:rsid w:val="3703048C"/>
    <w:rsid w:val="39162DD8"/>
    <w:rsid w:val="39CE1AF2"/>
    <w:rsid w:val="3ED066FD"/>
    <w:rsid w:val="43651F8D"/>
    <w:rsid w:val="437522C3"/>
    <w:rsid w:val="46DD4844"/>
    <w:rsid w:val="489D1BF1"/>
    <w:rsid w:val="4B22405C"/>
    <w:rsid w:val="4C385C70"/>
    <w:rsid w:val="55F80A2F"/>
    <w:rsid w:val="58237CED"/>
    <w:rsid w:val="5AE0479A"/>
    <w:rsid w:val="5B1E0456"/>
    <w:rsid w:val="62D60401"/>
    <w:rsid w:val="63731FC0"/>
    <w:rsid w:val="64357EF4"/>
    <w:rsid w:val="64DB49AA"/>
    <w:rsid w:val="6A10098D"/>
    <w:rsid w:val="71BD6029"/>
    <w:rsid w:val="71C154E6"/>
    <w:rsid w:val="75F946D5"/>
    <w:rsid w:val="762C6B54"/>
    <w:rsid w:val="7C234500"/>
    <w:rsid w:val="7E125BBA"/>
    <w:rsid w:val="7EC13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style>
  <w:style w:type="paragraph" w:styleId="3">
    <w:name w:val="annotation text"/>
    <w:basedOn w:val="1"/>
    <w:qFormat/>
    <w:uiPriority w:val="0"/>
    <w:pPr>
      <w:jc w:val="left"/>
    </w:pPr>
  </w:style>
  <w:style w:type="paragraph" w:styleId="4">
    <w:name w:val="Balloon Text"/>
    <w:basedOn w:val="1"/>
    <w:link w:val="12"/>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annotation reference"/>
    <w:qFormat/>
    <w:uiPriority w:val="0"/>
    <w:rPr>
      <w:rFonts w:cs="Times New Roman"/>
      <w:sz w:val="21"/>
      <w:szCs w:val="21"/>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character" w:customStyle="1" w:styleId="12">
    <w:name w:val="批注框文本 字符"/>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959</Words>
  <Characters>988</Characters>
  <Lines>47</Lines>
  <Paragraphs>29</Paragraphs>
  <TotalTime>1</TotalTime>
  <ScaleCrop>false</ScaleCrop>
  <LinksUpToDate>false</LinksUpToDate>
  <CharactersWithSpaces>1918</CharactersWithSpaces>
  <Application>WPS Office_11.8.6.11830_F1E327BC-269C-435d-A152-05C5408002CA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2025-04-22T06:24:00Z</dcterms:created>
  <dc:creator>微软用户</dc:creator>
  <cp:lastModifiedBy>叶妮</cp:lastModifiedBy>
  <cp:lastPrinted>2025-04-22T07:50:00Z</cp:lastPrinted>
  <dcterms:modified xsi:type="dcterms:W3CDTF">2026-10-16T02:25:33Z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2052-11.8.6.11830</vt:lpwstr>
  </property>
  <property fmtid="{D5CDD505-2E9C-101B-9397-08002B2CF9AE}" pid="3" name="ICV">
    <vt:lpwstr>D4E3000FF3F04EEBA3FCECA71A976F21_12</vt:lpwstr>
  </property>
  <property fmtid="{D5CDD505-2E9C-101B-9397-08002B2CF9AE}" pid="4" name="KSOTemplateDocerSaveRecord">
    <vt:lpwstr>eyJoZGlkIjoiODI4YjI1YWYxNGI3OTU0YzBlNWQzNTAwZjIyNTY2NDYiLCJ1c2VySWQiOiIxMDU4ODIyMjc3In0=</vt:lpwstr>
  </property>
</Properties>
</file>